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4DE74" w14:textId="6524E5A3" w:rsidR="00CB6DEB" w:rsidRPr="00F66CBF" w:rsidRDefault="0057430D" w:rsidP="00F66CBF">
      <w:pPr>
        <w:spacing w:after="0" w:line="240" w:lineRule="auto"/>
        <w:contextualSpacing/>
        <w:rPr>
          <w:rFonts w:ascii="Times New Roman" w:hAnsi="Times New Roman" w:cs="Times New Roman"/>
          <w:color w:val="000000" w:themeColor="text1"/>
          <w:sz w:val="22"/>
          <w:szCs w:val="22"/>
        </w:rPr>
      </w:pPr>
      <w:r w:rsidRPr="0057430D">
        <w:rPr>
          <w:rFonts w:ascii="Times New Roman" w:hAnsi="Times New Roman" w:cs="Times New Roman"/>
          <w:b/>
          <w:bCs/>
          <w:sz w:val="22"/>
          <w:szCs w:val="22"/>
        </w:rPr>
        <w:t xml:space="preserve">Supplemental </w:t>
      </w:r>
      <w:r w:rsidR="00CB6DEB" w:rsidRPr="00F66CBF">
        <w:rPr>
          <w:rFonts w:ascii="Times New Roman" w:hAnsi="Times New Roman" w:cs="Times New Roman"/>
          <w:b/>
          <w:bCs/>
          <w:sz w:val="22"/>
          <w:szCs w:val="22"/>
        </w:rPr>
        <w:t>Table 2</w:t>
      </w:r>
      <w:r w:rsidR="00CB6DEB" w:rsidRPr="00F66CBF">
        <w:rPr>
          <w:rFonts w:ascii="Times New Roman" w:hAnsi="Times New Roman" w:cs="Times New Roman"/>
          <w:sz w:val="22"/>
          <w:szCs w:val="22"/>
        </w:rPr>
        <w:t xml:space="preserve">. </w:t>
      </w:r>
      <w:r w:rsidR="00CB6DEB" w:rsidRPr="00F66CBF">
        <w:rPr>
          <w:rFonts w:ascii="Times New Roman" w:hAnsi="Times New Roman" w:cs="Times New Roman"/>
          <w:color w:val="000000" w:themeColor="text1"/>
          <w:sz w:val="22"/>
          <w:szCs w:val="22"/>
        </w:rPr>
        <w:t xml:space="preserve">Unit of </w:t>
      </w:r>
      <w:r w:rsidR="00F66CBF" w:rsidRPr="00F66CBF">
        <w:rPr>
          <w:rFonts w:ascii="Times New Roman" w:hAnsi="Times New Roman" w:cs="Times New Roman"/>
          <w:color w:val="000000" w:themeColor="text1"/>
          <w:sz w:val="22"/>
          <w:szCs w:val="22"/>
        </w:rPr>
        <w:t xml:space="preserve">Measurement and Measurement Tools </w:t>
      </w:r>
      <w:proofErr w:type="gramStart"/>
      <w:r w:rsidR="00F66CBF" w:rsidRPr="00F66CBF">
        <w:rPr>
          <w:rFonts w:ascii="Times New Roman" w:hAnsi="Times New Roman" w:cs="Times New Roman"/>
          <w:color w:val="000000" w:themeColor="text1"/>
          <w:sz w:val="22"/>
          <w:szCs w:val="22"/>
        </w:rPr>
        <w:t>For</w:t>
      </w:r>
      <w:proofErr w:type="gramEnd"/>
      <w:r w:rsidR="00F66CBF" w:rsidRPr="00F66CBF">
        <w:rPr>
          <w:rFonts w:ascii="Times New Roman" w:hAnsi="Times New Roman" w:cs="Times New Roman"/>
          <w:color w:val="000000" w:themeColor="text1"/>
          <w:sz w:val="22"/>
          <w:szCs w:val="22"/>
        </w:rPr>
        <w:t xml:space="preserve"> All Outcomes</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4A0" w:firstRow="1" w:lastRow="0" w:firstColumn="1" w:lastColumn="0" w:noHBand="0" w:noVBand="1"/>
      </w:tblPr>
      <w:tblGrid>
        <w:gridCol w:w="1427"/>
        <w:gridCol w:w="8188"/>
      </w:tblGrid>
      <w:tr w:rsidR="00CB6DEB" w:rsidRPr="00F66CBF" w14:paraId="25DEB577" w14:textId="77777777" w:rsidTr="00F66CBF">
        <w:trPr>
          <w:cantSplit/>
          <w:trHeight w:val="499"/>
        </w:trPr>
        <w:tc>
          <w:tcPr>
            <w:tcW w:w="0" w:type="auto"/>
            <w:vMerge w:val="restart"/>
            <w:shd w:val="clear" w:color="auto" w:fill="7030A0"/>
            <w:vAlign w:val="center"/>
            <w:hideMark/>
          </w:tcPr>
          <w:p w14:paraId="6F1CC246" w14:textId="77777777" w:rsidR="00CB6DEB" w:rsidRPr="00F66CBF" w:rsidRDefault="00CB6DEB" w:rsidP="00F66CBF">
            <w:pPr>
              <w:pStyle w:val="NormalWeb"/>
              <w:spacing w:before="0" w:beforeAutospacing="0" w:after="0" w:afterAutospacing="0"/>
              <w:contextualSpacing/>
              <w:rPr>
                <w:color w:val="FFFFFF" w:themeColor="background1"/>
                <w:sz w:val="22"/>
                <w:szCs w:val="22"/>
                <w:lang w:val="en-GB"/>
              </w:rPr>
            </w:pPr>
            <w:r w:rsidRPr="00F66CBF">
              <w:rPr>
                <w:color w:val="FFFFFF" w:themeColor="background1"/>
                <w:sz w:val="22"/>
                <w:szCs w:val="22"/>
                <w:lang w:val="en-GB"/>
              </w:rPr>
              <w:t>Outcomes</w:t>
            </w:r>
          </w:p>
        </w:tc>
        <w:tc>
          <w:tcPr>
            <w:tcW w:w="0" w:type="auto"/>
            <w:vMerge w:val="restart"/>
            <w:shd w:val="clear" w:color="auto" w:fill="7030A0"/>
            <w:vAlign w:val="center"/>
            <w:hideMark/>
          </w:tcPr>
          <w:p w14:paraId="3D55F682" w14:textId="77777777" w:rsidR="00CB6DEB" w:rsidRPr="00F66CBF" w:rsidRDefault="00CB6DEB" w:rsidP="00F66CBF">
            <w:pPr>
              <w:pStyle w:val="NormalWeb"/>
              <w:spacing w:before="0" w:beforeAutospacing="0" w:after="0" w:afterAutospacing="0"/>
              <w:contextualSpacing/>
              <w:jc w:val="center"/>
              <w:rPr>
                <w:color w:val="FFFFFF" w:themeColor="background1"/>
                <w:sz w:val="22"/>
                <w:szCs w:val="22"/>
                <w:lang w:val="en-GB"/>
              </w:rPr>
            </w:pPr>
            <w:r w:rsidRPr="00F66CBF">
              <w:rPr>
                <w:color w:val="FFFFFF" w:themeColor="background1"/>
                <w:sz w:val="22"/>
                <w:szCs w:val="22"/>
                <w:lang w:val="en-GB"/>
              </w:rPr>
              <w:t>Unit of measurement/ Measurement tool</w:t>
            </w:r>
          </w:p>
        </w:tc>
      </w:tr>
      <w:tr w:rsidR="00CB6DEB" w:rsidRPr="00F66CBF" w14:paraId="5BF9097F" w14:textId="77777777" w:rsidTr="00F66CBF">
        <w:trPr>
          <w:cantSplit/>
          <w:trHeight w:val="499"/>
        </w:trPr>
        <w:tc>
          <w:tcPr>
            <w:tcW w:w="0" w:type="auto"/>
            <w:vMerge/>
            <w:shd w:val="clear" w:color="auto" w:fill="7030A0"/>
            <w:vAlign w:val="center"/>
            <w:hideMark/>
          </w:tcPr>
          <w:p w14:paraId="6BE460B5" w14:textId="77777777" w:rsidR="00CB6DEB" w:rsidRPr="00F66CBF" w:rsidRDefault="00CB6DEB" w:rsidP="00F66CBF">
            <w:pPr>
              <w:spacing w:after="0" w:line="240" w:lineRule="auto"/>
              <w:contextualSpacing/>
              <w:rPr>
                <w:rFonts w:ascii="Times New Roman" w:hAnsi="Times New Roman" w:cs="Times New Roman"/>
                <w:color w:val="000000" w:themeColor="text1"/>
                <w:sz w:val="22"/>
                <w:szCs w:val="22"/>
              </w:rPr>
            </w:pPr>
          </w:p>
        </w:tc>
        <w:tc>
          <w:tcPr>
            <w:tcW w:w="0" w:type="auto"/>
            <w:vMerge/>
            <w:shd w:val="clear" w:color="auto" w:fill="7030A0"/>
            <w:vAlign w:val="center"/>
            <w:hideMark/>
          </w:tcPr>
          <w:p w14:paraId="335EEEB9"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rPr>
            </w:pPr>
          </w:p>
        </w:tc>
      </w:tr>
      <w:tr w:rsidR="00CB6DEB" w:rsidRPr="00F66CBF" w14:paraId="49C9AA20" w14:textId="77777777" w:rsidTr="00F66CBF">
        <w:trPr>
          <w:cantSplit/>
          <w:trHeight w:val="735"/>
        </w:trPr>
        <w:tc>
          <w:tcPr>
            <w:tcW w:w="0" w:type="auto"/>
            <w:shd w:val="clear" w:color="auto" w:fill="FFFFFF" w:themeFill="background1"/>
            <w:vAlign w:val="center"/>
            <w:hideMark/>
          </w:tcPr>
          <w:p w14:paraId="7BEE2240"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Fat-free mass</w:t>
            </w:r>
          </w:p>
        </w:tc>
        <w:tc>
          <w:tcPr>
            <w:tcW w:w="0" w:type="auto"/>
            <w:shd w:val="clear" w:color="auto" w:fill="FFFFFF" w:themeFill="background1"/>
            <w:vAlign w:val="center"/>
            <w:hideMark/>
          </w:tcPr>
          <w:p w14:paraId="79A4FEA3"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Fat-free mass has been reported in percentage (%) and Kg. Moreover, whole body fat-free mass obtained via dual-energy X-ray absorptiometry (DXA) or bioelectrical impedance analysis (BIA).</w:t>
            </w:r>
          </w:p>
        </w:tc>
      </w:tr>
      <w:tr w:rsidR="00CB6DEB" w:rsidRPr="00F66CBF" w14:paraId="15C9E571" w14:textId="77777777" w:rsidTr="00F66CBF">
        <w:trPr>
          <w:cantSplit/>
          <w:trHeight w:val="747"/>
        </w:trPr>
        <w:tc>
          <w:tcPr>
            <w:tcW w:w="0" w:type="auto"/>
            <w:shd w:val="clear" w:color="auto" w:fill="FFFFFF" w:themeFill="background1"/>
            <w:vAlign w:val="center"/>
            <w:hideMark/>
          </w:tcPr>
          <w:p w14:paraId="589071A7"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Tendon evaluation</w:t>
            </w:r>
          </w:p>
        </w:tc>
        <w:tc>
          <w:tcPr>
            <w:tcW w:w="0" w:type="auto"/>
            <w:shd w:val="clear" w:color="auto" w:fill="FFFFFF" w:themeFill="background1"/>
            <w:vAlign w:val="center"/>
            <w:hideMark/>
          </w:tcPr>
          <w:p w14:paraId="38650051"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Tendon functional properties: Young’s modulus of patellar tendon and stiffness (N/mm) of patellar and Achilles tendon. Tendon morphological properties: CSA (mm</w:t>
            </w:r>
            <w:r w:rsidRPr="00F66CBF">
              <w:rPr>
                <w:rFonts w:ascii="Times New Roman" w:eastAsia="Times New Roman" w:hAnsi="Times New Roman" w:cs="Times New Roman"/>
                <w:color w:val="000000" w:themeColor="text1"/>
                <w:sz w:val="22"/>
                <w:szCs w:val="22"/>
                <w:vertAlign w:val="superscript"/>
                <w:lang w:val="en-US"/>
              </w:rPr>
              <w:t>2</w:t>
            </w:r>
            <w:r w:rsidRPr="00F66CBF">
              <w:rPr>
                <w:rFonts w:ascii="Times New Roman" w:eastAsia="Times New Roman" w:hAnsi="Times New Roman" w:cs="Times New Roman"/>
                <w:color w:val="000000" w:themeColor="text1"/>
                <w:sz w:val="22"/>
                <w:szCs w:val="22"/>
                <w:lang w:val="en-US"/>
              </w:rPr>
              <w:t>) of patellar and Achilles tendon.</w:t>
            </w:r>
          </w:p>
        </w:tc>
      </w:tr>
      <w:tr w:rsidR="00CB6DEB" w:rsidRPr="00F66CBF" w14:paraId="46D0AA9A" w14:textId="77777777" w:rsidTr="00F66CBF">
        <w:trPr>
          <w:cantSplit/>
          <w:trHeight w:val="3200"/>
        </w:trPr>
        <w:tc>
          <w:tcPr>
            <w:tcW w:w="0" w:type="auto"/>
            <w:shd w:val="clear" w:color="auto" w:fill="FFFFFF" w:themeFill="background1"/>
            <w:vAlign w:val="center"/>
            <w:hideMark/>
          </w:tcPr>
          <w:p w14:paraId="7D73D47F"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Muscle evaluations</w:t>
            </w:r>
          </w:p>
        </w:tc>
        <w:tc>
          <w:tcPr>
            <w:tcW w:w="0" w:type="auto"/>
            <w:shd w:val="clear" w:color="auto" w:fill="FFFFFF" w:themeFill="background1"/>
            <w:vAlign w:val="center"/>
            <w:hideMark/>
          </w:tcPr>
          <w:p w14:paraId="5FAC1208"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Strength: MVC (Nm, N) of knee extension and flexion and plantar flexion using a dynamometer or 90° leg press; one repetition maximum (1RM) (kg) of squat, deadlift, bench press, bent-over row (all with barbells), knee extension on a dynamometer and handgrip with a hand dynamometer; maximal isometric squat performance (%) and squat jump (N), both assessed via force plates.</w:t>
            </w:r>
          </w:p>
          <w:p w14:paraId="673CAD85"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Muscular adaptation: volume (cm</w:t>
            </w:r>
            <w:r w:rsidRPr="00F66CBF">
              <w:rPr>
                <w:rFonts w:ascii="Times New Roman" w:eastAsia="Times New Roman" w:hAnsi="Times New Roman" w:cs="Times New Roman"/>
                <w:color w:val="000000" w:themeColor="text1"/>
                <w:sz w:val="22"/>
                <w:szCs w:val="22"/>
                <w:vertAlign w:val="superscript"/>
                <w:lang w:val="en-US"/>
              </w:rPr>
              <w:t>3</w:t>
            </w:r>
            <w:r w:rsidRPr="00F66CBF">
              <w:rPr>
                <w:rFonts w:ascii="Times New Roman" w:eastAsia="Times New Roman" w:hAnsi="Times New Roman" w:cs="Times New Roman"/>
                <w:color w:val="000000" w:themeColor="text1"/>
                <w:sz w:val="22"/>
                <w:szCs w:val="22"/>
                <w:lang w:val="en-US"/>
              </w:rPr>
              <w:t>) of quadriceps (</w:t>
            </w:r>
            <w:proofErr w:type="gramStart"/>
            <w:r w:rsidRPr="00F66CBF">
              <w:rPr>
                <w:rFonts w:ascii="Times New Roman" w:eastAsia="Times New Roman" w:hAnsi="Times New Roman" w:cs="Times New Roman"/>
                <w:color w:val="000000" w:themeColor="text1"/>
                <w:sz w:val="22"/>
                <w:szCs w:val="22"/>
                <w:lang w:val="en-US"/>
              </w:rPr>
              <w:t>and also</w:t>
            </w:r>
            <w:proofErr w:type="gramEnd"/>
            <w:r w:rsidRPr="00F66CBF">
              <w:rPr>
                <w:rFonts w:ascii="Times New Roman" w:eastAsia="Times New Roman" w:hAnsi="Times New Roman" w:cs="Times New Roman"/>
                <w:color w:val="000000" w:themeColor="text1"/>
                <w:sz w:val="22"/>
                <w:szCs w:val="22"/>
                <w:lang w:val="en-US"/>
              </w:rPr>
              <w:t xml:space="preserve"> rectus femoris, vastus intermedius, lateralis and medialis alone), gluteus maximus and hamstrings; CSA (cm</w:t>
            </w:r>
            <w:r w:rsidRPr="00F66CBF">
              <w:rPr>
                <w:rFonts w:ascii="Times New Roman" w:eastAsia="Times New Roman" w:hAnsi="Times New Roman" w:cs="Times New Roman"/>
                <w:color w:val="000000" w:themeColor="text1"/>
                <w:sz w:val="22"/>
                <w:szCs w:val="22"/>
                <w:vertAlign w:val="superscript"/>
                <w:lang w:val="en-US"/>
              </w:rPr>
              <w:t>2</w:t>
            </w:r>
            <w:r w:rsidRPr="00F66CBF">
              <w:rPr>
                <w:rFonts w:ascii="Times New Roman" w:eastAsia="Times New Roman" w:hAnsi="Times New Roman" w:cs="Times New Roman"/>
                <w:color w:val="000000" w:themeColor="text1"/>
                <w:sz w:val="22"/>
                <w:szCs w:val="22"/>
                <w:lang w:val="en-US"/>
              </w:rPr>
              <w:t>) of the thighs; thickness (cm) of medial gastrocnemius, vastus lateralis, intermedius and rectus femoris.</w:t>
            </w:r>
          </w:p>
          <w:p w14:paraId="1DD9C7BF"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Recovery: MVC (Nm) of knee extensions using a dynamometer, CMJ height (cm) with force plates or optical instruments, muscle soreness (MS) (mm) by means of a visual analog scale values from post, 24 h and 48 h after exercise-induced muscle damage.</w:t>
            </w:r>
          </w:p>
        </w:tc>
      </w:tr>
      <w:tr w:rsidR="00CB6DEB" w:rsidRPr="00F66CBF" w14:paraId="5D693B63" w14:textId="77777777" w:rsidTr="00F66CBF">
        <w:trPr>
          <w:cantSplit/>
          <w:trHeight w:val="502"/>
        </w:trPr>
        <w:tc>
          <w:tcPr>
            <w:tcW w:w="0" w:type="auto"/>
            <w:shd w:val="clear" w:color="auto" w:fill="FFFFFF" w:themeFill="background1"/>
            <w:vAlign w:val="center"/>
            <w:hideMark/>
          </w:tcPr>
          <w:p w14:paraId="4E2DA2F9"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lang w:val="en-US"/>
              </w:rPr>
              <w:t xml:space="preserve">Keratinized mucosa width </w:t>
            </w:r>
          </w:p>
        </w:tc>
        <w:tc>
          <w:tcPr>
            <w:tcW w:w="0" w:type="auto"/>
            <w:shd w:val="clear" w:color="auto" w:fill="FFFFFF" w:themeFill="background1"/>
            <w:vAlign w:val="center"/>
            <w:hideMark/>
          </w:tcPr>
          <w:p w14:paraId="47D1F9CE"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 xml:space="preserve">The keratinized mucosa was considered inadequate when presented </w:t>
            </w:r>
            <w:proofErr w:type="gramStart"/>
            <w:r w:rsidRPr="00F66CBF">
              <w:rPr>
                <w:rFonts w:ascii="Times New Roman" w:eastAsia="Times New Roman" w:hAnsi="Times New Roman" w:cs="Times New Roman"/>
                <w:color w:val="000000" w:themeColor="text1"/>
                <w:sz w:val="22"/>
                <w:szCs w:val="22"/>
                <w:lang w:val="en-US"/>
              </w:rPr>
              <w:t>width</w:t>
            </w:r>
            <w:proofErr w:type="gramEnd"/>
            <w:r w:rsidRPr="00F66CBF">
              <w:rPr>
                <w:rFonts w:ascii="Times New Roman" w:eastAsia="Times New Roman" w:hAnsi="Times New Roman" w:cs="Times New Roman"/>
                <w:color w:val="000000" w:themeColor="text1"/>
                <w:sz w:val="22"/>
                <w:szCs w:val="22"/>
                <w:lang w:val="en-US"/>
              </w:rPr>
              <w:t xml:space="preserve"> &lt;1 or &lt;2 mm.</w:t>
            </w:r>
          </w:p>
        </w:tc>
      </w:tr>
      <w:tr w:rsidR="00CB6DEB" w:rsidRPr="00F66CBF" w14:paraId="720E9D15" w14:textId="77777777" w:rsidTr="00F66CBF">
        <w:trPr>
          <w:cantSplit/>
          <w:trHeight w:val="490"/>
        </w:trPr>
        <w:tc>
          <w:tcPr>
            <w:tcW w:w="0" w:type="auto"/>
            <w:shd w:val="clear" w:color="auto" w:fill="FFFFFF" w:themeFill="background1"/>
            <w:vAlign w:val="center"/>
            <w:hideMark/>
          </w:tcPr>
          <w:p w14:paraId="29181FDB"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Gingival thickness</w:t>
            </w:r>
          </w:p>
        </w:tc>
        <w:tc>
          <w:tcPr>
            <w:tcW w:w="0" w:type="auto"/>
            <w:shd w:val="clear" w:color="auto" w:fill="FFFFFF" w:themeFill="background1"/>
            <w:vAlign w:val="center"/>
            <w:hideMark/>
          </w:tcPr>
          <w:p w14:paraId="1D8AD4B3"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Measured in mm.</w:t>
            </w:r>
          </w:p>
        </w:tc>
      </w:tr>
      <w:tr w:rsidR="00CB6DEB" w:rsidRPr="00F66CBF" w14:paraId="52EB6A68" w14:textId="77777777" w:rsidTr="00F66CBF">
        <w:trPr>
          <w:cantSplit/>
          <w:trHeight w:val="257"/>
        </w:trPr>
        <w:tc>
          <w:tcPr>
            <w:tcW w:w="0" w:type="auto"/>
            <w:shd w:val="clear" w:color="auto" w:fill="FFFFFF" w:themeFill="background1"/>
            <w:vAlign w:val="center"/>
            <w:hideMark/>
          </w:tcPr>
          <w:p w14:paraId="35AD2877"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Probing depth</w:t>
            </w:r>
          </w:p>
        </w:tc>
        <w:tc>
          <w:tcPr>
            <w:tcW w:w="0" w:type="auto"/>
            <w:shd w:val="clear" w:color="auto" w:fill="FFFFFF" w:themeFill="background1"/>
            <w:vAlign w:val="center"/>
            <w:hideMark/>
          </w:tcPr>
          <w:p w14:paraId="4EF61E0B"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Measured in mm.</w:t>
            </w:r>
          </w:p>
        </w:tc>
      </w:tr>
      <w:tr w:rsidR="00CB6DEB" w:rsidRPr="00F66CBF" w14:paraId="528EDDEB" w14:textId="77777777" w:rsidTr="00F66CBF">
        <w:trPr>
          <w:cantSplit/>
          <w:trHeight w:val="490"/>
        </w:trPr>
        <w:tc>
          <w:tcPr>
            <w:tcW w:w="0" w:type="auto"/>
            <w:shd w:val="clear" w:color="auto" w:fill="FFFFFF" w:themeFill="background1"/>
            <w:vAlign w:val="center"/>
            <w:hideMark/>
          </w:tcPr>
          <w:p w14:paraId="2C5DEC87"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Aesthetic satisfaction</w:t>
            </w:r>
          </w:p>
        </w:tc>
        <w:tc>
          <w:tcPr>
            <w:tcW w:w="0" w:type="auto"/>
            <w:shd w:val="clear" w:color="auto" w:fill="FFFFFF" w:themeFill="background1"/>
            <w:vAlign w:val="center"/>
            <w:hideMark/>
          </w:tcPr>
          <w:p w14:paraId="2A47BB3B"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VAS Visual Analogue Scale for Aesthetic satisfaction</w:t>
            </w:r>
          </w:p>
          <w:p w14:paraId="1CE68527"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Oral Health Impacts Profile (OHIP-14) questionnaire</w:t>
            </w:r>
          </w:p>
        </w:tc>
      </w:tr>
      <w:tr w:rsidR="00CB6DEB" w:rsidRPr="00F66CBF" w14:paraId="5F68C645" w14:textId="77777777" w:rsidTr="00F66CBF">
        <w:trPr>
          <w:cantSplit/>
          <w:trHeight w:val="502"/>
        </w:trPr>
        <w:tc>
          <w:tcPr>
            <w:tcW w:w="0" w:type="auto"/>
            <w:shd w:val="clear" w:color="auto" w:fill="FFFFFF" w:themeFill="background1"/>
            <w:vAlign w:val="center"/>
            <w:hideMark/>
          </w:tcPr>
          <w:p w14:paraId="4DE4556A"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Body mass index</w:t>
            </w:r>
          </w:p>
        </w:tc>
        <w:tc>
          <w:tcPr>
            <w:tcW w:w="0" w:type="auto"/>
            <w:shd w:val="clear" w:color="auto" w:fill="FFFFFF" w:themeFill="background1"/>
            <w:vAlign w:val="center"/>
            <w:hideMark/>
          </w:tcPr>
          <w:p w14:paraId="4BADA391"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Kg/m</w:t>
            </w:r>
            <w:r w:rsidRPr="00F66CBF">
              <w:rPr>
                <w:rFonts w:ascii="Times New Roman" w:eastAsia="Times New Roman" w:hAnsi="Times New Roman" w:cs="Times New Roman"/>
                <w:color w:val="000000" w:themeColor="text1"/>
                <w:sz w:val="22"/>
                <w:szCs w:val="22"/>
                <w:vertAlign w:val="superscript"/>
              </w:rPr>
              <w:t>2</w:t>
            </w:r>
          </w:p>
        </w:tc>
      </w:tr>
      <w:tr w:rsidR="00CB6DEB" w:rsidRPr="00F66CBF" w14:paraId="192666FD" w14:textId="77777777" w:rsidTr="00F66CBF">
        <w:trPr>
          <w:cantSplit/>
          <w:trHeight w:val="490"/>
        </w:trPr>
        <w:tc>
          <w:tcPr>
            <w:tcW w:w="0" w:type="auto"/>
            <w:shd w:val="clear" w:color="auto" w:fill="FFFFFF" w:themeFill="background1"/>
            <w:vAlign w:val="center"/>
            <w:hideMark/>
          </w:tcPr>
          <w:p w14:paraId="518B21AD"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Body fat mass (%)</w:t>
            </w:r>
          </w:p>
        </w:tc>
        <w:tc>
          <w:tcPr>
            <w:tcW w:w="0" w:type="auto"/>
            <w:shd w:val="clear" w:color="auto" w:fill="FFFFFF" w:themeFill="background1"/>
            <w:vAlign w:val="center"/>
            <w:hideMark/>
          </w:tcPr>
          <w:p w14:paraId="6197D72B"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Reported both in % and Kg.</w:t>
            </w:r>
          </w:p>
        </w:tc>
      </w:tr>
      <w:tr w:rsidR="00CB6DEB" w:rsidRPr="00F66CBF" w14:paraId="66519D52" w14:textId="77777777" w:rsidTr="00F66CBF">
        <w:trPr>
          <w:cantSplit/>
          <w:trHeight w:val="257"/>
        </w:trPr>
        <w:tc>
          <w:tcPr>
            <w:tcW w:w="0" w:type="auto"/>
            <w:shd w:val="clear" w:color="auto" w:fill="FFFFFF" w:themeFill="background1"/>
            <w:vAlign w:val="center"/>
            <w:hideMark/>
          </w:tcPr>
          <w:p w14:paraId="7149ADA2"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LDL-c</w:t>
            </w:r>
          </w:p>
        </w:tc>
        <w:tc>
          <w:tcPr>
            <w:tcW w:w="0" w:type="auto"/>
            <w:shd w:val="clear" w:color="auto" w:fill="FFFFFF" w:themeFill="background1"/>
            <w:vAlign w:val="center"/>
            <w:hideMark/>
          </w:tcPr>
          <w:p w14:paraId="329702C2"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mg/dl</w:t>
            </w:r>
          </w:p>
        </w:tc>
      </w:tr>
      <w:tr w:rsidR="00CB6DEB" w:rsidRPr="00F66CBF" w14:paraId="74B22AD9" w14:textId="77777777" w:rsidTr="00F66CBF">
        <w:trPr>
          <w:cantSplit/>
          <w:trHeight w:val="245"/>
        </w:trPr>
        <w:tc>
          <w:tcPr>
            <w:tcW w:w="0" w:type="auto"/>
            <w:shd w:val="clear" w:color="auto" w:fill="FFFFFF" w:themeFill="background1"/>
            <w:vAlign w:val="center"/>
            <w:hideMark/>
          </w:tcPr>
          <w:p w14:paraId="640D529D"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HDL-c</w:t>
            </w:r>
          </w:p>
        </w:tc>
        <w:tc>
          <w:tcPr>
            <w:tcW w:w="0" w:type="auto"/>
            <w:shd w:val="clear" w:color="auto" w:fill="FFFFFF" w:themeFill="background1"/>
            <w:vAlign w:val="center"/>
            <w:hideMark/>
          </w:tcPr>
          <w:p w14:paraId="6E274C97"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mg/dl</w:t>
            </w:r>
          </w:p>
        </w:tc>
      </w:tr>
      <w:tr w:rsidR="00CB6DEB" w:rsidRPr="00F66CBF" w14:paraId="434BE391" w14:textId="77777777" w:rsidTr="00F66CBF">
        <w:trPr>
          <w:cantSplit/>
          <w:trHeight w:val="502"/>
        </w:trPr>
        <w:tc>
          <w:tcPr>
            <w:tcW w:w="0" w:type="auto"/>
            <w:shd w:val="clear" w:color="auto" w:fill="FFFFFF" w:themeFill="background1"/>
            <w:vAlign w:val="center"/>
            <w:hideMark/>
          </w:tcPr>
          <w:p w14:paraId="7222B98B"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Total Cholesterol</w:t>
            </w:r>
          </w:p>
        </w:tc>
        <w:tc>
          <w:tcPr>
            <w:tcW w:w="0" w:type="auto"/>
            <w:shd w:val="clear" w:color="auto" w:fill="FFFFFF" w:themeFill="background1"/>
            <w:vAlign w:val="center"/>
            <w:hideMark/>
          </w:tcPr>
          <w:p w14:paraId="39350D4C"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mg/dl</w:t>
            </w:r>
          </w:p>
        </w:tc>
      </w:tr>
      <w:tr w:rsidR="00CB6DEB" w:rsidRPr="00F66CBF" w14:paraId="44DCF0C0" w14:textId="77777777" w:rsidTr="00F66CBF">
        <w:trPr>
          <w:cantSplit/>
          <w:trHeight w:val="245"/>
        </w:trPr>
        <w:tc>
          <w:tcPr>
            <w:tcW w:w="0" w:type="auto"/>
            <w:shd w:val="clear" w:color="auto" w:fill="FFFFFF" w:themeFill="background1"/>
            <w:vAlign w:val="center"/>
            <w:hideMark/>
          </w:tcPr>
          <w:p w14:paraId="51660C0A"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TG</w:t>
            </w:r>
          </w:p>
        </w:tc>
        <w:tc>
          <w:tcPr>
            <w:tcW w:w="0" w:type="auto"/>
            <w:shd w:val="clear" w:color="auto" w:fill="FFFFFF" w:themeFill="background1"/>
            <w:vAlign w:val="center"/>
            <w:hideMark/>
          </w:tcPr>
          <w:p w14:paraId="52E8B7B8"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mg/dl</w:t>
            </w:r>
          </w:p>
        </w:tc>
      </w:tr>
      <w:tr w:rsidR="00CB6DEB" w:rsidRPr="00F66CBF" w14:paraId="7BCD628D" w14:textId="77777777" w:rsidTr="00F66CBF">
        <w:trPr>
          <w:cantSplit/>
          <w:trHeight w:val="245"/>
        </w:trPr>
        <w:tc>
          <w:tcPr>
            <w:tcW w:w="0" w:type="auto"/>
            <w:shd w:val="clear" w:color="auto" w:fill="FFFFFF" w:themeFill="background1"/>
            <w:vAlign w:val="center"/>
            <w:hideMark/>
          </w:tcPr>
          <w:p w14:paraId="6B0CC698"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SBP</w:t>
            </w:r>
          </w:p>
        </w:tc>
        <w:tc>
          <w:tcPr>
            <w:tcW w:w="0" w:type="auto"/>
            <w:shd w:val="clear" w:color="auto" w:fill="FFFFFF" w:themeFill="background1"/>
            <w:vAlign w:val="center"/>
            <w:hideMark/>
          </w:tcPr>
          <w:p w14:paraId="642BB50B"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Systolic blood pressure (mmHg)</w:t>
            </w:r>
          </w:p>
        </w:tc>
      </w:tr>
      <w:tr w:rsidR="00CB6DEB" w:rsidRPr="00F66CBF" w14:paraId="605DAB06" w14:textId="77777777" w:rsidTr="00F66CBF">
        <w:trPr>
          <w:cantSplit/>
          <w:trHeight w:val="257"/>
        </w:trPr>
        <w:tc>
          <w:tcPr>
            <w:tcW w:w="0" w:type="auto"/>
            <w:shd w:val="clear" w:color="auto" w:fill="FFFFFF" w:themeFill="background1"/>
            <w:vAlign w:val="center"/>
            <w:hideMark/>
          </w:tcPr>
          <w:p w14:paraId="114AA938"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DBP</w:t>
            </w:r>
          </w:p>
        </w:tc>
        <w:tc>
          <w:tcPr>
            <w:tcW w:w="0" w:type="auto"/>
            <w:shd w:val="clear" w:color="auto" w:fill="FFFFFF" w:themeFill="background1"/>
            <w:vAlign w:val="center"/>
            <w:hideMark/>
          </w:tcPr>
          <w:p w14:paraId="784A95B1"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lang w:val="en-US"/>
              </w:rPr>
              <w:t>Diastolic blood pressure (mmHg)</w:t>
            </w:r>
          </w:p>
        </w:tc>
      </w:tr>
      <w:tr w:rsidR="00CB6DEB" w:rsidRPr="00F66CBF" w14:paraId="193402A7" w14:textId="77777777" w:rsidTr="00F66CBF">
        <w:trPr>
          <w:cantSplit/>
          <w:trHeight w:val="490"/>
        </w:trPr>
        <w:tc>
          <w:tcPr>
            <w:tcW w:w="0" w:type="auto"/>
            <w:shd w:val="clear" w:color="auto" w:fill="FFFFFF" w:themeFill="background1"/>
            <w:vAlign w:val="center"/>
            <w:hideMark/>
          </w:tcPr>
          <w:p w14:paraId="0476EB76"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Fasting blood glucose</w:t>
            </w:r>
          </w:p>
        </w:tc>
        <w:tc>
          <w:tcPr>
            <w:tcW w:w="0" w:type="auto"/>
            <w:shd w:val="clear" w:color="auto" w:fill="FFFFFF" w:themeFill="background1"/>
            <w:vAlign w:val="center"/>
            <w:hideMark/>
          </w:tcPr>
          <w:p w14:paraId="6133BF05" w14:textId="77777777" w:rsidR="00CB6DEB" w:rsidRPr="00F66CBF" w:rsidRDefault="00CB6DEB" w:rsidP="00F66CBF">
            <w:pPr>
              <w:spacing w:after="0" w:line="240" w:lineRule="auto"/>
              <w:contextualSpacing/>
              <w:jc w:val="center"/>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mg/dl</w:t>
            </w:r>
          </w:p>
        </w:tc>
      </w:tr>
      <w:tr w:rsidR="00CB6DEB" w:rsidRPr="00F66CBF" w14:paraId="17E57B2E" w14:textId="77777777" w:rsidTr="00F66CBF">
        <w:trPr>
          <w:cantSplit/>
          <w:trHeight w:val="257"/>
        </w:trPr>
        <w:tc>
          <w:tcPr>
            <w:tcW w:w="0" w:type="auto"/>
            <w:shd w:val="clear" w:color="auto" w:fill="FFFFFF" w:themeFill="background1"/>
            <w:vAlign w:val="center"/>
          </w:tcPr>
          <w:p w14:paraId="7B56805B"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lastRenderedPageBreak/>
              <w:t>HbA1c</w:t>
            </w:r>
          </w:p>
        </w:tc>
        <w:tc>
          <w:tcPr>
            <w:tcW w:w="0" w:type="auto"/>
            <w:shd w:val="clear" w:color="auto" w:fill="FFFFFF" w:themeFill="background1"/>
            <w:vAlign w:val="center"/>
          </w:tcPr>
          <w:p w14:paraId="40870C09"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eastAsia="Times New Roman" w:hAnsi="Times New Roman" w:cs="Times New Roman"/>
                <w:color w:val="000000" w:themeColor="text1"/>
                <w:sz w:val="22"/>
                <w:szCs w:val="22"/>
              </w:rPr>
              <w:t>P</w:t>
            </w:r>
            <w:r w:rsidRPr="00F66CBF">
              <w:rPr>
                <w:rStyle w:val="quality-sign"/>
                <w:rFonts w:ascii="Times New Roman" w:hAnsi="Times New Roman" w:cs="Times New Roman"/>
                <w:color w:val="000000" w:themeColor="text1"/>
                <w:sz w:val="22"/>
                <w:szCs w:val="22"/>
              </w:rPr>
              <w:t>ercentage (%)</w:t>
            </w:r>
          </w:p>
        </w:tc>
      </w:tr>
      <w:tr w:rsidR="00CB6DEB" w:rsidRPr="00F66CBF" w14:paraId="057B05D5" w14:textId="77777777" w:rsidTr="00F66CBF">
        <w:trPr>
          <w:cantSplit/>
          <w:trHeight w:val="3200"/>
        </w:trPr>
        <w:tc>
          <w:tcPr>
            <w:tcW w:w="0" w:type="auto"/>
            <w:shd w:val="clear" w:color="auto" w:fill="FFFFFF" w:themeFill="background1"/>
            <w:vAlign w:val="center"/>
          </w:tcPr>
          <w:p w14:paraId="59B3593E"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Pain reduction</w:t>
            </w:r>
          </w:p>
        </w:tc>
        <w:tc>
          <w:tcPr>
            <w:tcW w:w="0" w:type="auto"/>
            <w:shd w:val="clear" w:color="auto" w:fill="FFFFFF" w:themeFill="background1"/>
            <w:vAlign w:val="center"/>
          </w:tcPr>
          <w:p w14:paraId="50738EF1"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If a trial presented pain outcomes on more than one scale, the following hierarchical list to extract data from the scale highest on the list:</w:t>
            </w:r>
          </w:p>
          <w:p w14:paraId="7C3F9135"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 xml:space="preserve">(1) global osteoarthritis pain assessed using visual analog or numeric rating </w:t>
            </w:r>
            <w:proofErr w:type="gramStart"/>
            <w:r w:rsidRPr="00F66CBF">
              <w:rPr>
                <w:rFonts w:ascii="Times New Roman" w:hAnsi="Times New Roman" w:cs="Times New Roman"/>
                <w:color w:val="000000" w:themeColor="text1"/>
                <w:sz w:val="22"/>
                <w:szCs w:val="22"/>
                <w:lang w:val="en-US"/>
              </w:rPr>
              <w:t>scales;</w:t>
            </w:r>
            <w:proofErr w:type="gramEnd"/>
          </w:p>
          <w:p w14:paraId="2DB2A068"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(2) pain on walking (any scale: visual analog scale, Likert or numeric rating scale</w:t>
            </w:r>
            <w:proofErr w:type="gramStart"/>
            <w:r w:rsidRPr="00F66CBF">
              <w:rPr>
                <w:rFonts w:ascii="Times New Roman" w:hAnsi="Times New Roman" w:cs="Times New Roman"/>
                <w:color w:val="000000" w:themeColor="text1"/>
                <w:sz w:val="22"/>
                <w:szCs w:val="22"/>
                <w:lang w:val="en-US"/>
              </w:rPr>
              <w:t>);</w:t>
            </w:r>
            <w:proofErr w:type="gramEnd"/>
          </w:p>
          <w:p w14:paraId="38C07CE4"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 xml:space="preserve">(3) WOMAC osteoarthritis index pain </w:t>
            </w:r>
            <w:proofErr w:type="spellStart"/>
            <w:proofErr w:type="gramStart"/>
            <w:r w:rsidRPr="00F66CBF">
              <w:rPr>
                <w:rFonts w:ascii="Times New Roman" w:hAnsi="Times New Roman" w:cs="Times New Roman"/>
                <w:color w:val="000000" w:themeColor="text1"/>
                <w:sz w:val="22"/>
                <w:szCs w:val="22"/>
                <w:lang w:val="en-US"/>
              </w:rPr>
              <w:t>subscore</w:t>
            </w:r>
            <w:proofErr w:type="spellEnd"/>
            <w:r w:rsidRPr="00F66CBF">
              <w:rPr>
                <w:rFonts w:ascii="Times New Roman" w:hAnsi="Times New Roman" w:cs="Times New Roman"/>
                <w:color w:val="000000" w:themeColor="text1"/>
                <w:sz w:val="22"/>
                <w:szCs w:val="22"/>
                <w:lang w:val="en-US"/>
              </w:rPr>
              <w:t>;</w:t>
            </w:r>
            <w:proofErr w:type="gramEnd"/>
          </w:p>
          <w:p w14:paraId="4B83F8C4"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 xml:space="preserve">(4) composite pain scores other than </w:t>
            </w:r>
            <w:proofErr w:type="gramStart"/>
            <w:r w:rsidRPr="00F66CBF">
              <w:rPr>
                <w:rFonts w:ascii="Times New Roman" w:hAnsi="Times New Roman" w:cs="Times New Roman"/>
                <w:color w:val="000000" w:themeColor="text1"/>
                <w:sz w:val="22"/>
                <w:szCs w:val="22"/>
                <w:lang w:val="en-US"/>
              </w:rPr>
              <w:t>WOMAC;</w:t>
            </w:r>
            <w:proofErr w:type="gramEnd"/>
          </w:p>
          <w:p w14:paraId="20EB4B0D"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 xml:space="preserve">(5) pain </w:t>
            </w:r>
            <w:proofErr w:type="gramStart"/>
            <w:r w:rsidRPr="00F66CBF">
              <w:rPr>
                <w:rFonts w:ascii="Times New Roman" w:hAnsi="Times New Roman" w:cs="Times New Roman"/>
                <w:color w:val="000000" w:themeColor="text1"/>
                <w:sz w:val="22"/>
                <w:szCs w:val="22"/>
                <w:lang w:val="en-US"/>
              </w:rPr>
              <w:t>on</w:t>
            </w:r>
            <w:proofErr w:type="gramEnd"/>
            <w:r w:rsidRPr="00F66CBF">
              <w:rPr>
                <w:rFonts w:ascii="Times New Roman" w:hAnsi="Times New Roman" w:cs="Times New Roman"/>
                <w:color w:val="000000" w:themeColor="text1"/>
                <w:sz w:val="22"/>
                <w:szCs w:val="22"/>
                <w:lang w:val="en-US"/>
              </w:rPr>
              <w:t xml:space="preserve"> activities other than walking (such as stair climbing</w:t>
            </w:r>
            <w:proofErr w:type="gramStart"/>
            <w:r w:rsidRPr="00F66CBF">
              <w:rPr>
                <w:rFonts w:ascii="Times New Roman" w:hAnsi="Times New Roman" w:cs="Times New Roman"/>
                <w:color w:val="000000" w:themeColor="text1"/>
                <w:sz w:val="22"/>
                <w:szCs w:val="22"/>
                <w:lang w:val="en-US"/>
              </w:rPr>
              <w:t>);</w:t>
            </w:r>
            <w:proofErr w:type="gramEnd"/>
          </w:p>
          <w:p w14:paraId="7DAAEF03"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 xml:space="preserve">(6) WOMAC global </w:t>
            </w:r>
            <w:proofErr w:type="gramStart"/>
            <w:r w:rsidRPr="00F66CBF">
              <w:rPr>
                <w:rFonts w:ascii="Times New Roman" w:hAnsi="Times New Roman" w:cs="Times New Roman"/>
                <w:color w:val="000000" w:themeColor="text1"/>
                <w:sz w:val="22"/>
                <w:szCs w:val="22"/>
                <w:lang w:val="en-US"/>
              </w:rPr>
              <w:t>score;</w:t>
            </w:r>
            <w:proofErr w:type="gramEnd"/>
          </w:p>
          <w:p w14:paraId="21A03642"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 xml:space="preserve">(7) </w:t>
            </w:r>
            <w:proofErr w:type="spellStart"/>
            <w:r w:rsidRPr="00F66CBF">
              <w:rPr>
                <w:rFonts w:ascii="Times New Roman" w:hAnsi="Times New Roman" w:cs="Times New Roman"/>
                <w:color w:val="000000" w:themeColor="text1"/>
                <w:sz w:val="22"/>
                <w:szCs w:val="22"/>
                <w:lang w:val="en-US"/>
              </w:rPr>
              <w:t>Lequesne</w:t>
            </w:r>
            <w:proofErr w:type="spellEnd"/>
            <w:r w:rsidRPr="00F66CBF">
              <w:rPr>
                <w:rFonts w:ascii="Times New Roman" w:hAnsi="Times New Roman" w:cs="Times New Roman"/>
                <w:color w:val="000000" w:themeColor="text1"/>
                <w:sz w:val="22"/>
                <w:szCs w:val="22"/>
                <w:lang w:val="en-US"/>
              </w:rPr>
              <w:t xml:space="preserve"> osteoarthritis index </w:t>
            </w:r>
            <w:proofErr w:type="gramStart"/>
            <w:r w:rsidRPr="00F66CBF">
              <w:rPr>
                <w:rFonts w:ascii="Times New Roman" w:hAnsi="Times New Roman" w:cs="Times New Roman"/>
                <w:color w:val="000000" w:themeColor="text1"/>
                <w:sz w:val="22"/>
                <w:szCs w:val="22"/>
                <w:lang w:val="en-US"/>
              </w:rPr>
              <w:t>score;</w:t>
            </w:r>
            <w:proofErr w:type="gramEnd"/>
          </w:p>
          <w:p w14:paraId="1A4E58AC"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 xml:space="preserve">(8) other </w:t>
            </w:r>
            <w:proofErr w:type="spellStart"/>
            <w:r w:rsidRPr="00F66CBF">
              <w:rPr>
                <w:rFonts w:ascii="Times New Roman" w:hAnsi="Times New Roman" w:cs="Times New Roman"/>
                <w:color w:val="000000" w:themeColor="text1"/>
                <w:sz w:val="22"/>
                <w:szCs w:val="22"/>
                <w:lang w:val="en-US"/>
              </w:rPr>
              <w:t>algofunctional</w:t>
            </w:r>
            <w:proofErr w:type="spellEnd"/>
            <w:r w:rsidRPr="00F66CBF">
              <w:rPr>
                <w:rFonts w:ascii="Times New Roman" w:hAnsi="Times New Roman" w:cs="Times New Roman"/>
                <w:color w:val="000000" w:themeColor="text1"/>
                <w:sz w:val="22"/>
                <w:szCs w:val="22"/>
                <w:lang w:val="en-US"/>
              </w:rPr>
              <w:t xml:space="preserve"> composite </w:t>
            </w:r>
            <w:proofErr w:type="gramStart"/>
            <w:r w:rsidRPr="00F66CBF">
              <w:rPr>
                <w:rFonts w:ascii="Times New Roman" w:hAnsi="Times New Roman" w:cs="Times New Roman"/>
                <w:color w:val="000000" w:themeColor="text1"/>
                <w:sz w:val="22"/>
                <w:szCs w:val="22"/>
                <w:lang w:val="en-US"/>
              </w:rPr>
              <w:t>scores;</w:t>
            </w:r>
            <w:proofErr w:type="gramEnd"/>
          </w:p>
          <w:p w14:paraId="4AAC7807"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 xml:space="preserve">(9) </w:t>
            </w:r>
            <w:proofErr w:type="gramStart"/>
            <w:r w:rsidRPr="00F66CBF">
              <w:rPr>
                <w:rFonts w:ascii="Times New Roman" w:hAnsi="Times New Roman" w:cs="Times New Roman"/>
                <w:color w:val="000000" w:themeColor="text1"/>
                <w:sz w:val="22"/>
                <w:szCs w:val="22"/>
                <w:lang w:val="en-US"/>
              </w:rPr>
              <w:t>patient’s</w:t>
            </w:r>
            <w:proofErr w:type="gramEnd"/>
            <w:r w:rsidRPr="00F66CBF">
              <w:rPr>
                <w:rFonts w:ascii="Times New Roman" w:hAnsi="Times New Roman" w:cs="Times New Roman"/>
                <w:color w:val="000000" w:themeColor="text1"/>
                <w:sz w:val="22"/>
                <w:szCs w:val="22"/>
                <w:lang w:val="en-US"/>
              </w:rPr>
              <w:t xml:space="preserve"> global </w:t>
            </w:r>
            <w:proofErr w:type="gramStart"/>
            <w:r w:rsidRPr="00F66CBF">
              <w:rPr>
                <w:rFonts w:ascii="Times New Roman" w:hAnsi="Times New Roman" w:cs="Times New Roman"/>
                <w:color w:val="000000" w:themeColor="text1"/>
                <w:sz w:val="22"/>
                <w:szCs w:val="22"/>
                <w:lang w:val="en-US"/>
              </w:rPr>
              <w:t>assessment;</w:t>
            </w:r>
            <w:proofErr w:type="gramEnd"/>
          </w:p>
          <w:p w14:paraId="55859190" w14:textId="77777777" w:rsidR="00CB6DEB" w:rsidRPr="00F66CBF" w:rsidRDefault="00CB6DEB" w:rsidP="00F66CBF">
            <w:pPr>
              <w:spacing w:after="0" w:line="240" w:lineRule="auto"/>
              <w:contextualSpacing/>
              <w:jc w:val="center"/>
              <w:rPr>
                <w:rFonts w:ascii="Times New Roman" w:hAnsi="Times New Roman" w:cs="Times New Roman"/>
                <w:color w:val="000000" w:themeColor="text1"/>
                <w:sz w:val="22"/>
                <w:szCs w:val="22"/>
                <w:lang w:val="en-US"/>
              </w:rPr>
            </w:pPr>
            <w:r w:rsidRPr="00F66CBF">
              <w:rPr>
                <w:rFonts w:ascii="Times New Roman" w:hAnsi="Times New Roman" w:cs="Times New Roman"/>
                <w:color w:val="000000" w:themeColor="text1"/>
                <w:sz w:val="22"/>
                <w:szCs w:val="22"/>
                <w:lang w:val="en-US"/>
              </w:rPr>
              <w:t>(10) physician’s global assessment</w:t>
            </w:r>
          </w:p>
          <w:p w14:paraId="002E262C"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lang w:val="en-US"/>
              </w:rPr>
            </w:pPr>
          </w:p>
        </w:tc>
      </w:tr>
      <w:tr w:rsidR="00CB6DEB" w:rsidRPr="00F66CBF" w14:paraId="43C83302" w14:textId="77777777" w:rsidTr="00F66CBF">
        <w:trPr>
          <w:cantSplit/>
          <w:trHeight w:val="747"/>
        </w:trPr>
        <w:tc>
          <w:tcPr>
            <w:tcW w:w="0" w:type="auto"/>
            <w:shd w:val="clear" w:color="auto" w:fill="FFFFFF" w:themeFill="background1"/>
            <w:vAlign w:val="center"/>
          </w:tcPr>
          <w:p w14:paraId="5B9B776C"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VAS (score)</w:t>
            </w:r>
          </w:p>
        </w:tc>
        <w:tc>
          <w:tcPr>
            <w:tcW w:w="0" w:type="auto"/>
            <w:shd w:val="clear" w:color="auto" w:fill="FFFFFF" w:themeFill="background1"/>
            <w:vAlign w:val="center"/>
          </w:tcPr>
          <w:p w14:paraId="7641578A"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VAS (Visual Analogue Scale) score is a measurement used to gauge pain, anxiety, or other symptoms on a scale, typically a 10 cm line with "no pain" at one end and "worst possible pain" at the other</w:t>
            </w:r>
          </w:p>
        </w:tc>
      </w:tr>
      <w:tr w:rsidR="00CB6DEB" w:rsidRPr="00F66CBF" w14:paraId="33B4E7BF" w14:textId="77777777" w:rsidTr="00F66CBF">
        <w:trPr>
          <w:cantSplit/>
          <w:trHeight w:val="735"/>
        </w:trPr>
        <w:tc>
          <w:tcPr>
            <w:tcW w:w="0" w:type="auto"/>
            <w:shd w:val="clear" w:color="auto" w:fill="FFFFFF" w:themeFill="background1"/>
            <w:vAlign w:val="center"/>
          </w:tcPr>
          <w:p w14:paraId="7259A086"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WOMAC (index)</w:t>
            </w:r>
          </w:p>
        </w:tc>
        <w:tc>
          <w:tcPr>
            <w:tcW w:w="0" w:type="auto"/>
            <w:shd w:val="clear" w:color="auto" w:fill="FFFFFF" w:themeFill="background1"/>
            <w:vAlign w:val="center"/>
          </w:tcPr>
          <w:p w14:paraId="73703BD9"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The Western Ontario and McMaster Universities Osteoarthritis Index (WOMAC) is used to evaluate the condition of patients with osteoarthritis of the knee and hip, including pain, stiffness, and physical functioning of the joints.</w:t>
            </w:r>
          </w:p>
        </w:tc>
      </w:tr>
      <w:tr w:rsidR="00CB6DEB" w:rsidRPr="00F66CBF" w14:paraId="182B106A" w14:textId="77777777" w:rsidTr="00F66CBF">
        <w:trPr>
          <w:cantSplit/>
          <w:trHeight w:val="747"/>
        </w:trPr>
        <w:tc>
          <w:tcPr>
            <w:tcW w:w="0" w:type="auto"/>
            <w:shd w:val="clear" w:color="auto" w:fill="FFFFFF" w:themeFill="background1"/>
            <w:vAlign w:val="center"/>
          </w:tcPr>
          <w:p w14:paraId="3E2B643A"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proofErr w:type="spellStart"/>
            <w:r w:rsidRPr="00F66CBF">
              <w:rPr>
                <w:rFonts w:ascii="Times New Roman" w:eastAsia="Times New Roman" w:hAnsi="Times New Roman" w:cs="Times New Roman"/>
                <w:color w:val="000000" w:themeColor="text1"/>
                <w:sz w:val="22"/>
                <w:szCs w:val="22"/>
              </w:rPr>
              <w:t>Lesquene</w:t>
            </w:r>
            <w:proofErr w:type="spellEnd"/>
            <w:r w:rsidRPr="00F66CBF">
              <w:rPr>
                <w:rFonts w:ascii="Times New Roman" w:eastAsia="Times New Roman" w:hAnsi="Times New Roman" w:cs="Times New Roman"/>
                <w:color w:val="000000" w:themeColor="text1"/>
                <w:sz w:val="22"/>
                <w:szCs w:val="22"/>
              </w:rPr>
              <w:t xml:space="preserve"> index</w:t>
            </w:r>
          </w:p>
        </w:tc>
        <w:tc>
          <w:tcPr>
            <w:tcW w:w="0" w:type="auto"/>
            <w:shd w:val="clear" w:color="auto" w:fill="FFFFFF" w:themeFill="background1"/>
            <w:vAlign w:val="center"/>
          </w:tcPr>
          <w:p w14:paraId="21B0D6BF"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lang w:val="en-US"/>
              </w:rPr>
            </w:pPr>
            <w:r w:rsidRPr="00F66CBF">
              <w:rPr>
                <w:rFonts w:ascii="Times New Roman" w:eastAsia="Times New Roman" w:hAnsi="Times New Roman" w:cs="Times New Roman"/>
                <w:color w:val="000000" w:themeColor="text1"/>
                <w:sz w:val="22"/>
                <w:szCs w:val="22"/>
                <w:lang w:val="en-US"/>
              </w:rPr>
              <w:t xml:space="preserve">The </w:t>
            </w:r>
            <w:proofErr w:type="spellStart"/>
            <w:r w:rsidRPr="00F66CBF">
              <w:rPr>
                <w:rFonts w:ascii="Times New Roman" w:eastAsia="Times New Roman" w:hAnsi="Times New Roman" w:cs="Times New Roman"/>
                <w:color w:val="000000" w:themeColor="text1"/>
                <w:sz w:val="22"/>
                <w:szCs w:val="22"/>
                <w:lang w:val="en-US"/>
              </w:rPr>
              <w:t>Lequesne</w:t>
            </w:r>
            <w:proofErr w:type="spellEnd"/>
            <w:r w:rsidRPr="00F66CBF">
              <w:rPr>
                <w:rFonts w:ascii="Times New Roman" w:eastAsia="Times New Roman" w:hAnsi="Times New Roman" w:cs="Times New Roman"/>
                <w:color w:val="000000" w:themeColor="text1"/>
                <w:sz w:val="22"/>
                <w:szCs w:val="22"/>
                <w:lang w:val="en-US"/>
              </w:rPr>
              <w:t xml:space="preserve"> functional index is a questionnaire used to assess the severity of joint-related symptoms by measuring pain, maximum walking distance, and activities of daily living.</w:t>
            </w:r>
          </w:p>
        </w:tc>
      </w:tr>
      <w:tr w:rsidR="00CB6DEB" w:rsidRPr="00F66CBF" w14:paraId="228E56B4" w14:textId="77777777" w:rsidTr="00F66CBF">
        <w:trPr>
          <w:cantSplit/>
          <w:trHeight w:val="502"/>
        </w:trPr>
        <w:tc>
          <w:tcPr>
            <w:tcW w:w="0" w:type="auto"/>
            <w:shd w:val="clear" w:color="auto" w:fill="FFFFFF" w:themeFill="background1"/>
            <w:vAlign w:val="center"/>
          </w:tcPr>
          <w:p w14:paraId="472180BC"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 xml:space="preserve">Cutaneous elasticity </w:t>
            </w:r>
          </w:p>
        </w:tc>
        <w:tc>
          <w:tcPr>
            <w:tcW w:w="0" w:type="auto"/>
            <w:shd w:val="clear" w:color="auto" w:fill="FFFFFF" w:themeFill="background1"/>
            <w:vAlign w:val="center"/>
          </w:tcPr>
          <w:p w14:paraId="6B54780C"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eastAsia="Times New Roman" w:hAnsi="Times New Roman" w:cs="Times New Roman"/>
                <w:color w:val="000000" w:themeColor="text1"/>
                <w:sz w:val="22"/>
                <w:szCs w:val="22"/>
              </w:rPr>
              <w:t>Megapascals (MPa), percentage (%) and A</w:t>
            </w:r>
            <w:r w:rsidRPr="00F66CBF">
              <w:rPr>
                <w:rStyle w:val="quality-sign"/>
                <w:rFonts w:ascii="Times New Roman" w:hAnsi="Times New Roman" w:cs="Times New Roman"/>
                <w:color w:val="000000" w:themeColor="text1"/>
                <w:sz w:val="22"/>
                <w:szCs w:val="22"/>
              </w:rPr>
              <w:t>rbitrary unit</w:t>
            </w:r>
          </w:p>
        </w:tc>
      </w:tr>
      <w:tr w:rsidR="00CB6DEB" w:rsidRPr="00F66CBF" w14:paraId="020FBCE8" w14:textId="77777777" w:rsidTr="00F66CBF">
        <w:trPr>
          <w:cantSplit/>
          <w:trHeight w:val="490"/>
        </w:trPr>
        <w:tc>
          <w:tcPr>
            <w:tcW w:w="0" w:type="auto"/>
            <w:shd w:val="clear" w:color="auto" w:fill="FFFFFF" w:themeFill="background1"/>
            <w:vAlign w:val="center"/>
          </w:tcPr>
          <w:p w14:paraId="49A0F1E9"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 xml:space="preserve">Cutaneous hydration </w:t>
            </w:r>
          </w:p>
        </w:tc>
        <w:tc>
          <w:tcPr>
            <w:tcW w:w="0" w:type="auto"/>
            <w:shd w:val="clear" w:color="auto" w:fill="FFFFFF" w:themeFill="background1"/>
            <w:vAlign w:val="center"/>
          </w:tcPr>
          <w:p w14:paraId="3E6D4C2A"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hAnsi="Times New Roman" w:cs="Times New Roman"/>
                <w:color w:val="000000" w:themeColor="text1"/>
                <w:sz w:val="22"/>
                <w:szCs w:val="22"/>
              </w:rPr>
              <w:t xml:space="preserve">Arbitrary unit, percentage (%), micrometre </w:t>
            </w:r>
            <w:r w:rsidRPr="00F66CBF">
              <w:rPr>
                <w:rFonts w:ascii="Times New Roman" w:eastAsia="Times New Roman" w:hAnsi="Times New Roman" w:cs="Times New Roman"/>
                <w:color w:val="000000" w:themeColor="text1"/>
                <w:sz w:val="22"/>
                <w:szCs w:val="22"/>
              </w:rPr>
              <w:t>(</w:t>
            </w:r>
            <w:r w:rsidRPr="00F66CBF">
              <w:rPr>
                <w:rFonts w:ascii="Times New Roman" w:eastAsia="Times New Roman" w:hAnsi="Times New Roman" w:cs="Times New Roman"/>
                <w:i/>
                <w:iCs/>
                <w:color w:val="000000" w:themeColor="text1"/>
                <w:sz w:val="22"/>
                <w:szCs w:val="22"/>
                <w:lang w:val="en-US"/>
              </w:rPr>
              <w:t>µ</w:t>
            </w:r>
            <w:r w:rsidRPr="00F66CBF">
              <w:rPr>
                <w:rFonts w:ascii="Times New Roman" w:eastAsia="Times New Roman" w:hAnsi="Times New Roman" w:cs="Times New Roman"/>
                <w:color w:val="000000" w:themeColor="text1"/>
                <w:sz w:val="22"/>
                <w:szCs w:val="22"/>
                <w:lang w:val="en-US"/>
              </w:rPr>
              <w:t>m</w:t>
            </w:r>
            <w:r w:rsidRPr="00F66CBF">
              <w:rPr>
                <w:rFonts w:ascii="Times New Roman" w:eastAsia="Times New Roman" w:hAnsi="Times New Roman" w:cs="Times New Roman"/>
                <w:color w:val="000000" w:themeColor="text1"/>
                <w:sz w:val="22"/>
                <w:szCs w:val="22"/>
              </w:rPr>
              <w:t>)</w:t>
            </w:r>
          </w:p>
        </w:tc>
      </w:tr>
      <w:tr w:rsidR="00CB6DEB" w:rsidRPr="00F66CBF" w14:paraId="4A4114BC" w14:textId="77777777" w:rsidTr="00F66CBF">
        <w:trPr>
          <w:cantSplit/>
          <w:trHeight w:val="502"/>
        </w:trPr>
        <w:tc>
          <w:tcPr>
            <w:tcW w:w="0" w:type="auto"/>
            <w:shd w:val="clear" w:color="auto" w:fill="FFFFFF" w:themeFill="background1"/>
            <w:vAlign w:val="center"/>
          </w:tcPr>
          <w:p w14:paraId="30CEB4FF"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Healing velocity</w:t>
            </w:r>
          </w:p>
        </w:tc>
        <w:tc>
          <w:tcPr>
            <w:tcW w:w="0" w:type="auto"/>
            <w:shd w:val="clear" w:color="auto" w:fill="FFFFFF" w:themeFill="background1"/>
            <w:vAlign w:val="center"/>
          </w:tcPr>
          <w:p w14:paraId="050274A2"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eastAsia="Times New Roman" w:hAnsi="Times New Roman" w:cs="Times New Roman"/>
                <w:color w:val="000000" w:themeColor="text1"/>
                <w:sz w:val="22"/>
                <w:szCs w:val="22"/>
              </w:rPr>
              <w:t>Weeks</w:t>
            </w:r>
          </w:p>
        </w:tc>
      </w:tr>
      <w:tr w:rsidR="00CB6DEB" w:rsidRPr="00F66CBF" w14:paraId="72385949" w14:textId="77777777" w:rsidTr="00F66CBF">
        <w:trPr>
          <w:cantSplit/>
          <w:trHeight w:val="490"/>
        </w:trPr>
        <w:tc>
          <w:tcPr>
            <w:tcW w:w="0" w:type="auto"/>
            <w:shd w:val="clear" w:color="auto" w:fill="FFFFFF" w:themeFill="background1"/>
            <w:vAlign w:val="center"/>
          </w:tcPr>
          <w:p w14:paraId="3DC55EBE"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 xml:space="preserve">Area reduction </w:t>
            </w:r>
          </w:p>
        </w:tc>
        <w:tc>
          <w:tcPr>
            <w:tcW w:w="0" w:type="auto"/>
            <w:shd w:val="clear" w:color="auto" w:fill="FFFFFF" w:themeFill="background1"/>
            <w:vAlign w:val="center"/>
          </w:tcPr>
          <w:p w14:paraId="57D06ED2"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eastAsia="Times New Roman" w:hAnsi="Times New Roman" w:cs="Times New Roman"/>
                <w:color w:val="000000" w:themeColor="text1"/>
                <w:sz w:val="22"/>
                <w:szCs w:val="22"/>
              </w:rPr>
              <w:t>P</w:t>
            </w:r>
            <w:r w:rsidRPr="00F66CBF">
              <w:rPr>
                <w:rStyle w:val="quality-sign"/>
                <w:rFonts w:ascii="Times New Roman" w:hAnsi="Times New Roman" w:cs="Times New Roman"/>
                <w:color w:val="000000" w:themeColor="text1"/>
                <w:sz w:val="22"/>
                <w:szCs w:val="22"/>
              </w:rPr>
              <w:t>ercentage (%)</w:t>
            </w:r>
          </w:p>
        </w:tc>
      </w:tr>
      <w:tr w:rsidR="00CB6DEB" w:rsidRPr="00F66CBF" w14:paraId="7C1A0A9F" w14:textId="77777777" w:rsidTr="00F66CBF">
        <w:trPr>
          <w:cantSplit/>
          <w:trHeight w:val="502"/>
        </w:trPr>
        <w:tc>
          <w:tcPr>
            <w:tcW w:w="0" w:type="auto"/>
            <w:shd w:val="clear" w:color="auto" w:fill="FFFFFF" w:themeFill="background1"/>
            <w:vAlign w:val="center"/>
          </w:tcPr>
          <w:p w14:paraId="76C62E0B"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 xml:space="preserve">Wounds closed </w:t>
            </w:r>
          </w:p>
        </w:tc>
        <w:tc>
          <w:tcPr>
            <w:tcW w:w="0" w:type="auto"/>
            <w:shd w:val="clear" w:color="auto" w:fill="FFFFFF" w:themeFill="background1"/>
            <w:vAlign w:val="center"/>
          </w:tcPr>
          <w:p w14:paraId="2BE144D3"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eastAsia="Times New Roman" w:hAnsi="Times New Roman" w:cs="Times New Roman"/>
                <w:color w:val="000000" w:themeColor="text1"/>
                <w:sz w:val="22"/>
                <w:szCs w:val="22"/>
              </w:rPr>
              <w:t>P</w:t>
            </w:r>
            <w:r w:rsidRPr="00F66CBF">
              <w:rPr>
                <w:rStyle w:val="quality-sign"/>
                <w:rFonts w:ascii="Times New Roman" w:hAnsi="Times New Roman" w:cs="Times New Roman"/>
                <w:color w:val="000000" w:themeColor="text1"/>
                <w:sz w:val="22"/>
                <w:szCs w:val="22"/>
              </w:rPr>
              <w:t>ercentage (%)</w:t>
            </w:r>
          </w:p>
        </w:tc>
      </w:tr>
      <w:tr w:rsidR="00CB6DEB" w:rsidRPr="00F66CBF" w14:paraId="768EEE68" w14:textId="77777777" w:rsidTr="00F66CBF">
        <w:trPr>
          <w:cantSplit/>
          <w:trHeight w:val="490"/>
        </w:trPr>
        <w:tc>
          <w:tcPr>
            <w:tcW w:w="0" w:type="auto"/>
            <w:shd w:val="clear" w:color="auto" w:fill="FFFFFF" w:themeFill="background1"/>
            <w:vAlign w:val="center"/>
          </w:tcPr>
          <w:p w14:paraId="0E1669E7"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Skin elasticity</w:t>
            </w:r>
          </w:p>
        </w:tc>
        <w:tc>
          <w:tcPr>
            <w:tcW w:w="0" w:type="auto"/>
            <w:shd w:val="clear" w:color="auto" w:fill="FFFFFF" w:themeFill="background1"/>
            <w:vAlign w:val="center"/>
          </w:tcPr>
          <w:p w14:paraId="0CE98B3A"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eastAsia="Times New Roman" w:hAnsi="Times New Roman" w:cs="Times New Roman"/>
                <w:color w:val="000000" w:themeColor="text1"/>
                <w:sz w:val="22"/>
                <w:szCs w:val="22"/>
              </w:rPr>
              <w:t>Megapascals (MPa), percentage (%) and A</w:t>
            </w:r>
            <w:r w:rsidRPr="00F66CBF">
              <w:rPr>
                <w:rStyle w:val="quality-sign"/>
                <w:rFonts w:ascii="Times New Roman" w:hAnsi="Times New Roman" w:cs="Times New Roman"/>
                <w:color w:val="000000" w:themeColor="text1"/>
                <w:sz w:val="22"/>
                <w:szCs w:val="22"/>
              </w:rPr>
              <w:t>rbitrary unit</w:t>
            </w:r>
          </w:p>
        </w:tc>
      </w:tr>
      <w:tr w:rsidR="00CB6DEB" w:rsidRPr="00F66CBF" w14:paraId="435D5A9B" w14:textId="77777777" w:rsidTr="00F66CBF">
        <w:trPr>
          <w:cantSplit/>
          <w:trHeight w:val="502"/>
        </w:trPr>
        <w:tc>
          <w:tcPr>
            <w:tcW w:w="0" w:type="auto"/>
            <w:shd w:val="clear" w:color="auto" w:fill="FFFFFF" w:themeFill="background1"/>
            <w:vAlign w:val="center"/>
          </w:tcPr>
          <w:p w14:paraId="645D10C7"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 xml:space="preserve">Skin hydration </w:t>
            </w:r>
          </w:p>
        </w:tc>
        <w:tc>
          <w:tcPr>
            <w:tcW w:w="0" w:type="auto"/>
            <w:shd w:val="clear" w:color="auto" w:fill="FFFFFF" w:themeFill="background1"/>
            <w:vAlign w:val="center"/>
          </w:tcPr>
          <w:p w14:paraId="61598C04"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eastAsia="Times New Roman" w:hAnsi="Times New Roman" w:cs="Times New Roman"/>
                <w:color w:val="000000" w:themeColor="text1"/>
                <w:sz w:val="22"/>
                <w:szCs w:val="22"/>
              </w:rPr>
              <w:t>A</w:t>
            </w:r>
            <w:r w:rsidRPr="00F66CBF">
              <w:rPr>
                <w:rStyle w:val="quality-sign"/>
                <w:rFonts w:ascii="Times New Roman" w:hAnsi="Times New Roman" w:cs="Times New Roman"/>
                <w:color w:val="000000" w:themeColor="text1"/>
                <w:sz w:val="22"/>
                <w:szCs w:val="22"/>
              </w:rPr>
              <w:t xml:space="preserve">rbitrary unit, percentage, micrometre </w:t>
            </w:r>
            <w:r w:rsidRPr="00F66CBF">
              <w:rPr>
                <w:rFonts w:ascii="Times New Roman" w:eastAsia="Times New Roman" w:hAnsi="Times New Roman" w:cs="Times New Roman"/>
                <w:color w:val="000000" w:themeColor="text1"/>
                <w:sz w:val="22"/>
                <w:szCs w:val="22"/>
              </w:rPr>
              <w:t>(</w:t>
            </w:r>
            <w:r w:rsidRPr="00F66CBF">
              <w:rPr>
                <w:rFonts w:ascii="Times New Roman" w:eastAsia="Times New Roman" w:hAnsi="Times New Roman" w:cs="Times New Roman"/>
                <w:i/>
                <w:iCs/>
                <w:color w:val="000000" w:themeColor="text1"/>
                <w:sz w:val="22"/>
                <w:szCs w:val="22"/>
                <w:lang w:val="en-US"/>
              </w:rPr>
              <w:t>µ</w:t>
            </w:r>
            <w:r w:rsidRPr="00F66CBF">
              <w:rPr>
                <w:rFonts w:ascii="Times New Roman" w:eastAsia="Times New Roman" w:hAnsi="Times New Roman" w:cs="Times New Roman"/>
                <w:color w:val="000000" w:themeColor="text1"/>
                <w:sz w:val="22"/>
                <w:szCs w:val="22"/>
                <w:lang w:val="en-US"/>
              </w:rPr>
              <w:t>m</w:t>
            </w:r>
            <w:r w:rsidRPr="00F66CBF">
              <w:rPr>
                <w:rFonts w:ascii="Times New Roman" w:eastAsia="Times New Roman" w:hAnsi="Times New Roman" w:cs="Times New Roman"/>
                <w:color w:val="000000" w:themeColor="text1"/>
                <w:sz w:val="22"/>
                <w:szCs w:val="22"/>
              </w:rPr>
              <w:t>)</w:t>
            </w:r>
          </w:p>
        </w:tc>
      </w:tr>
      <w:tr w:rsidR="00CB6DEB" w:rsidRPr="00F66CBF" w14:paraId="5DC6AEAE" w14:textId="77777777" w:rsidTr="00F66CBF">
        <w:trPr>
          <w:cantSplit/>
          <w:trHeight w:val="490"/>
        </w:trPr>
        <w:tc>
          <w:tcPr>
            <w:tcW w:w="0" w:type="auto"/>
            <w:shd w:val="clear" w:color="auto" w:fill="FFFFFF" w:themeFill="background1"/>
            <w:vAlign w:val="center"/>
          </w:tcPr>
          <w:p w14:paraId="6F69CE63"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Skin roughness</w:t>
            </w:r>
          </w:p>
        </w:tc>
        <w:tc>
          <w:tcPr>
            <w:tcW w:w="0" w:type="auto"/>
            <w:shd w:val="clear" w:color="auto" w:fill="FFFFFF" w:themeFill="background1"/>
            <w:vAlign w:val="center"/>
          </w:tcPr>
          <w:p w14:paraId="491FA340"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eastAsia="Times New Roman" w:hAnsi="Times New Roman" w:cs="Times New Roman"/>
                <w:color w:val="000000" w:themeColor="text1"/>
                <w:sz w:val="22"/>
                <w:szCs w:val="22"/>
              </w:rPr>
              <w:t xml:space="preserve">Assessed through </w:t>
            </w:r>
            <w:proofErr w:type="spellStart"/>
            <w:r w:rsidRPr="00F66CBF">
              <w:rPr>
                <w:rStyle w:val="quality-sign"/>
                <w:rFonts w:ascii="Times New Roman" w:eastAsia="Times New Roman" w:hAnsi="Times New Roman" w:cs="Times New Roman"/>
                <w:color w:val="000000" w:themeColor="text1"/>
                <w:sz w:val="22"/>
                <w:szCs w:val="22"/>
              </w:rPr>
              <w:t>visiometer</w:t>
            </w:r>
            <w:proofErr w:type="spellEnd"/>
            <w:r w:rsidRPr="00F66CBF">
              <w:rPr>
                <w:rStyle w:val="quality-sign"/>
                <w:rFonts w:ascii="Times New Roman" w:eastAsia="Times New Roman" w:hAnsi="Times New Roman" w:cs="Times New Roman"/>
                <w:color w:val="000000" w:themeColor="text1"/>
                <w:sz w:val="22"/>
                <w:szCs w:val="22"/>
              </w:rPr>
              <w:t>.</w:t>
            </w:r>
          </w:p>
        </w:tc>
      </w:tr>
      <w:tr w:rsidR="00CB6DEB" w:rsidRPr="00F66CBF" w14:paraId="1F910DE5" w14:textId="77777777" w:rsidTr="00F66CBF">
        <w:trPr>
          <w:cantSplit/>
          <w:trHeight w:val="735"/>
        </w:trPr>
        <w:tc>
          <w:tcPr>
            <w:tcW w:w="0" w:type="auto"/>
            <w:shd w:val="clear" w:color="auto" w:fill="FFFFFF" w:themeFill="background1"/>
            <w:vAlign w:val="center"/>
          </w:tcPr>
          <w:p w14:paraId="2A2840A6" w14:textId="77777777" w:rsidR="00CB6DEB" w:rsidRPr="00F66CBF" w:rsidRDefault="00CB6DEB" w:rsidP="00F66CBF">
            <w:pPr>
              <w:spacing w:after="0" w:line="240" w:lineRule="auto"/>
              <w:contextualSpacing/>
              <w:rPr>
                <w:rFonts w:ascii="Times New Roman" w:eastAsia="Times New Roman" w:hAnsi="Times New Roman" w:cs="Times New Roman"/>
                <w:color w:val="000000" w:themeColor="text1"/>
                <w:sz w:val="22"/>
                <w:szCs w:val="22"/>
              </w:rPr>
            </w:pPr>
            <w:r w:rsidRPr="00F66CBF">
              <w:rPr>
                <w:rFonts w:ascii="Times New Roman" w:eastAsia="Times New Roman" w:hAnsi="Times New Roman" w:cs="Times New Roman"/>
                <w:color w:val="000000" w:themeColor="text1"/>
                <w:sz w:val="22"/>
                <w:szCs w:val="22"/>
              </w:rPr>
              <w:t>Wound relative reduction</w:t>
            </w:r>
          </w:p>
        </w:tc>
        <w:tc>
          <w:tcPr>
            <w:tcW w:w="0" w:type="auto"/>
            <w:shd w:val="clear" w:color="auto" w:fill="FFFFFF" w:themeFill="background1"/>
            <w:vAlign w:val="center"/>
          </w:tcPr>
          <w:p w14:paraId="6544E84F" w14:textId="77777777" w:rsidR="00CB6DEB" w:rsidRPr="00F66CBF" w:rsidRDefault="00CB6DEB" w:rsidP="00F66CBF">
            <w:pPr>
              <w:spacing w:after="0" w:line="240" w:lineRule="auto"/>
              <w:contextualSpacing/>
              <w:jc w:val="center"/>
              <w:rPr>
                <w:rStyle w:val="quality-sign"/>
                <w:rFonts w:ascii="Times New Roman" w:eastAsia="Times New Roman" w:hAnsi="Times New Roman" w:cs="Times New Roman"/>
                <w:color w:val="000000" w:themeColor="text1"/>
                <w:sz w:val="22"/>
                <w:szCs w:val="22"/>
              </w:rPr>
            </w:pPr>
            <w:r w:rsidRPr="00F66CBF">
              <w:rPr>
                <w:rStyle w:val="quality-sign"/>
                <w:rFonts w:ascii="Times New Roman" w:eastAsia="Times New Roman" w:hAnsi="Times New Roman" w:cs="Times New Roman"/>
                <w:color w:val="000000" w:themeColor="text1"/>
                <w:sz w:val="22"/>
                <w:szCs w:val="22"/>
              </w:rPr>
              <w:t>P</w:t>
            </w:r>
            <w:r w:rsidRPr="00F66CBF">
              <w:rPr>
                <w:rStyle w:val="quality-sign"/>
                <w:rFonts w:ascii="Times New Roman" w:hAnsi="Times New Roman" w:cs="Times New Roman"/>
                <w:color w:val="000000" w:themeColor="text1"/>
                <w:sz w:val="22"/>
                <w:szCs w:val="22"/>
              </w:rPr>
              <w:t>ercentage (%)</w:t>
            </w:r>
          </w:p>
        </w:tc>
      </w:tr>
    </w:tbl>
    <w:p w14:paraId="32B89AF0" w14:textId="77777777" w:rsidR="00CB6DEB" w:rsidRPr="00F66CBF" w:rsidRDefault="00CB6DEB" w:rsidP="00F66CBF">
      <w:pPr>
        <w:spacing w:after="0" w:line="240" w:lineRule="auto"/>
        <w:contextualSpacing/>
        <w:rPr>
          <w:rFonts w:ascii="Times New Roman" w:hAnsi="Times New Roman" w:cs="Times New Roman"/>
          <w:sz w:val="22"/>
          <w:szCs w:val="22"/>
        </w:rPr>
      </w:pPr>
    </w:p>
    <w:p w14:paraId="1977E794" w14:textId="1D665A3B" w:rsidR="00ED2F0F" w:rsidRPr="00F66CBF" w:rsidRDefault="00ED2F0F" w:rsidP="00F66CBF">
      <w:pPr>
        <w:spacing w:after="0" w:line="240" w:lineRule="auto"/>
        <w:contextualSpacing/>
        <w:rPr>
          <w:rFonts w:ascii="Times New Roman" w:hAnsi="Times New Roman" w:cs="Times New Roman"/>
          <w:sz w:val="22"/>
          <w:szCs w:val="22"/>
        </w:rPr>
      </w:pPr>
    </w:p>
    <w:sectPr w:rsidR="00ED2F0F" w:rsidRPr="00F66CBF" w:rsidSect="00F66C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DEB"/>
    <w:rsid w:val="003C6BC5"/>
    <w:rsid w:val="0043598A"/>
    <w:rsid w:val="004E2988"/>
    <w:rsid w:val="0057430D"/>
    <w:rsid w:val="00AD7002"/>
    <w:rsid w:val="00C1027B"/>
    <w:rsid w:val="00C71BEF"/>
    <w:rsid w:val="00CB6DEB"/>
    <w:rsid w:val="00D00C53"/>
    <w:rsid w:val="00ED2F0F"/>
    <w:rsid w:val="00F66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0805F"/>
  <w15:chartTrackingRefBased/>
  <w15:docId w15:val="{4626E6E7-AFF7-2040-8614-9BD64F209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6D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6D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6D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6D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6D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6D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6D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6D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6D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D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6D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6D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6D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6D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6D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6D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6D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6DEB"/>
    <w:rPr>
      <w:rFonts w:eastAsiaTheme="majorEastAsia" w:cstheme="majorBidi"/>
      <w:color w:val="272727" w:themeColor="text1" w:themeTint="D8"/>
    </w:rPr>
  </w:style>
  <w:style w:type="paragraph" w:styleId="Title">
    <w:name w:val="Title"/>
    <w:basedOn w:val="Normal"/>
    <w:next w:val="Normal"/>
    <w:link w:val="TitleChar"/>
    <w:uiPriority w:val="10"/>
    <w:qFormat/>
    <w:rsid w:val="00CB6D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D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D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D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6DEB"/>
    <w:pPr>
      <w:spacing w:before="160"/>
      <w:jc w:val="center"/>
    </w:pPr>
    <w:rPr>
      <w:i/>
      <w:iCs/>
      <w:color w:val="404040" w:themeColor="text1" w:themeTint="BF"/>
    </w:rPr>
  </w:style>
  <w:style w:type="character" w:customStyle="1" w:styleId="QuoteChar">
    <w:name w:val="Quote Char"/>
    <w:basedOn w:val="DefaultParagraphFont"/>
    <w:link w:val="Quote"/>
    <w:uiPriority w:val="29"/>
    <w:rsid w:val="00CB6DEB"/>
    <w:rPr>
      <w:i/>
      <w:iCs/>
      <w:color w:val="404040" w:themeColor="text1" w:themeTint="BF"/>
    </w:rPr>
  </w:style>
  <w:style w:type="paragraph" w:styleId="ListParagraph">
    <w:name w:val="List Paragraph"/>
    <w:basedOn w:val="Normal"/>
    <w:uiPriority w:val="34"/>
    <w:qFormat/>
    <w:rsid w:val="00CB6DEB"/>
    <w:pPr>
      <w:ind w:left="720"/>
      <w:contextualSpacing/>
    </w:pPr>
  </w:style>
  <w:style w:type="character" w:styleId="IntenseEmphasis">
    <w:name w:val="Intense Emphasis"/>
    <w:basedOn w:val="DefaultParagraphFont"/>
    <w:uiPriority w:val="21"/>
    <w:qFormat/>
    <w:rsid w:val="00CB6DEB"/>
    <w:rPr>
      <w:i/>
      <w:iCs/>
      <w:color w:val="0F4761" w:themeColor="accent1" w:themeShade="BF"/>
    </w:rPr>
  </w:style>
  <w:style w:type="paragraph" w:styleId="IntenseQuote">
    <w:name w:val="Intense Quote"/>
    <w:basedOn w:val="Normal"/>
    <w:next w:val="Normal"/>
    <w:link w:val="IntenseQuoteChar"/>
    <w:uiPriority w:val="30"/>
    <w:qFormat/>
    <w:rsid w:val="00CB6D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6DEB"/>
    <w:rPr>
      <w:i/>
      <w:iCs/>
      <w:color w:val="0F4761" w:themeColor="accent1" w:themeShade="BF"/>
    </w:rPr>
  </w:style>
  <w:style w:type="character" w:styleId="IntenseReference">
    <w:name w:val="Intense Reference"/>
    <w:basedOn w:val="DefaultParagraphFont"/>
    <w:uiPriority w:val="32"/>
    <w:qFormat/>
    <w:rsid w:val="00CB6DEB"/>
    <w:rPr>
      <w:b/>
      <w:bCs/>
      <w:smallCaps/>
      <w:color w:val="0F4761" w:themeColor="accent1" w:themeShade="BF"/>
      <w:spacing w:val="5"/>
    </w:rPr>
  </w:style>
  <w:style w:type="paragraph" w:styleId="NormalWeb">
    <w:name w:val="Normal (Web)"/>
    <w:basedOn w:val="Normal"/>
    <w:uiPriority w:val="99"/>
    <w:semiHidden/>
    <w:unhideWhenUsed/>
    <w:rsid w:val="00CB6DEB"/>
    <w:pPr>
      <w:spacing w:before="100" w:beforeAutospacing="1" w:after="100" w:afterAutospacing="1" w:line="240" w:lineRule="auto"/>
    </w:pPr>
    <w:rPr>
      <w:rFonts w:ascii="Times New Roman" w:eastAsiaTheme="minorEastAsia" w:hAnsi="Times New Roman" w:cs="Times New Roman"/>
      <w:kern w:val="0"/>
      <w:lang w:val="it-IT" w:eastAsia="it-IT"/>
    </w:rPr>
  </w:style>
  <w:style w:type="character" w:customStyle="1" w:styleId="quality-sign">
    <w:name w:val="quality-sign"/>
    <w:basedOn w:val="DefaultParagraphFont"/>
    <w:rsid w:val="00CB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504</Words>
  <Characters>3287</Characters>
  <Application>Microsoft Office Word</Application>
  <DocSecurity>0</DocSecurity>
  <Lines>60</Lines>
  <Paragraphs>32</Paragraphs>
  <ScaleCrop>false</ScaleCrop>
  <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Gawronska</dc:creator>
  <cp:keywords/>
  <dc:description/>
  <cp:lastModifiedBy>Kyleigh Vrettos</cp:lastModifiedBy>
  <cp:revision>3</cp:revision>
  <dcterms:created xsi:type="dcterms:W3CDTF">2026-01-27T18:31:00Z</dcterms:created>
  <dcterms:modified xsi:type="dcterms:W3CDTF">2026-01-28T18:16:00Z</dcterms:modified>
</cp:coreProperties>
</file>